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443D8191"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AE2FE9">
        <w:rPr>
          <w:rFonts w:ascii="Arial" w:hAnsi="Arial" w:cs="Arial"/>
          <w:b/>
          <w:bCs/>
        </w:rPr>
        <w:t>2311</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547B51C"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13082D">
        <w:rPr>
          <w:rFonts w:ascii="Arial" w:hAnsi="Arial" w:cs="Arial"/>
          <w:b/>
        </w:rPr>
        <w:t>5</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3BC15E9"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34712E" w:rsidRPr="0034712E">
        <w:rPr>
          <w:rFonts w:ascii="Arial" w:hAnsi="Arial" w:cs="Arial"/>
          <w:b/>
        </w:rPr>
        <w:t>Discussion on preamble-to-PRU mapping for 2-step CFRA</w:t>
      </w:r>
      <w:r w:rsidR="00C75F36">
        <w:rPr>
          <w:rFonts w:ascii="Arial" w:hAnsi="Arial" w:cs="Arial"/>
          <w:b/>
        </w:rPr>
        <w:t xml:space="preserve">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DB76D13" w14:textId="45EDCE1B" w:rsidR="00742F9E" w:rsidRDefault="00CF63B8" w:rsidP="008B349E">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00F9796D" w:rsidRPr="00AE228A">
        <w:rPr>
          <w:color w:val="000000" w:themeColor="text1"/>
          <w:sz w:val="20"/>
          <w:szCs w:val="20"/>
        </w:rPr>
        <w:t>RAN</w:t>
      </w:r>
      <w:r w:rsidR="00742F9E">
        <w:rPr>
          <w:color w:val="000000" w:themeColor="text1"/>
          <w:sz w:val="20"/>
          <w:szCs w:val="20"/>
        </w:rPr>
        <w:t>2</w:t>
      </w:r>
      <w:r w:rsidR="00F9796D" w:rsidRPr="00AE228A">
        <w:rPr>
          <w:color w:val="000000" w:themeColor="text1"/>
          <w:sz w:val="20"/>
          <w:szCs w:val="20"/>
        </w:rPr>
        <w:t>#</w:t>
      </w:r>
      <w:r w:rsidR="00C62302">
        <w:rPr>
          <w:color w:val="000000" w:themeColor="text1"/>
          <w:sz w:val="20"/>
          <w:szCs w:val="20"/>
        </w:rPr>
        <w:t>10</w:t>
      </w:r>
      <w:r w:rsidR="00742F9E">
        <w:rPr>
          <w:color w:val="000000" w:themeColor="text1"/>
          <w:sz w:val="20"/>
          <w:szCs w:val="20"/>
        </w:rPr>
        <w:t>9</w:t>
      </w:r>
      <w:r w:rsidR="00C62302">
        <w:rPr>
          <w:color w:val="000000" w:themeColor="text1"/>
          <w:sz w:val="20"/>
          <w:szCs w:val="20"/>
        </w:rPr>
        <w:t xml:space="preserve"> e-</w:t>
      </w:r>
      <w:r w:rsidR="00F9796D" w:rsidRPr="00AE228A">
        <w:rPr>
          <w:color w:val="000000" w:themeColor="text1"/>
          <w:sz w:val="20"/>
          <w:szCs w:val="20"/>
        </w:rPr>
        <w:t>meeting,</w:t>
      </w:r>
      <w:r w:rsidR="001A0E7A">
        <w:rPr>
          <w:color w:val="000000" w:themeColor="text1"/>
          <w:sz w:val="20"/>
          <w:szCs w:val="20"/>
        </w:rPr>
        <w:t xml:space="preserve"> </w:t>
      </w:r>
      <w:r w:rsidR="00742F9E">
        <w:rPr>
          <w:color w:val="000000" w:themeColor="text1"/>
          <w:sz w:val="20"/>
          <w:szCs w:val="20"/>
        </w:rPr>
        <w:t>RAN2 made agreements on signaling of CFRA, and LS is sent to RAN1 [1].</w:t>
      </w:r>
    </w:p>
    <w:p w14:paraId="7DE787F1" w14:textId="5F719E55" w:rsidR="00487A13" w:rsidRPr="00FB6A81" w:rsidRDefault="00742F9E" w:rsidP="008B349E">
      <w:pPr>
        <w:spacing w:after="120"/>
        <w:rPr>
          <w:sz w:val="20"/>
          <w:szCs w:val="20"/>
        </w:rPr>
      </w:pPr>
      <w:r>
        <w:rPr>
          <w:color w:val="000000" w:themeColor="text1"/>
          <w:sz w:val="20"/>
          <w:szCs w:val="20"/>
        </w:rPr>
        <w:t xml:space="preserve">One remaining issue to support CFRA is how to support the preamble-to-PRU mapping. Two alternatives were discussed in RAN2. </w:t>
      </w:r>
      <w:r w:rsidR="0074779C" w:rsidRPr="00FB6A81">
        <w:rPr>
          <w:rFonts w:eastAsia="MS Mincho"/>
          <w:sz w:val="20"/>
          <w:szCs w:val="20"/>
          <w:lang w:eastAsia="ja-JP"/>
        </w:rPr>
        <w:t xml:space="preserve">In this contribution, we </w:t>
      </w:r>
      <w:r w:rsidR="006659EB">
        <w:rPr>
          <w:rFonts w:eastAsia="MS Mincho"/>
          <w:sz w:val="20"/>
          <w:szCs w:val="20"/>
          <w:lang w:eastAsia="ja-JP"/>
        </w:rPr>
        <w:t xml:space="preserve">discuss the </w:t>
      </w:r>
      <w:r>
        <w:rPr>
          <w:rFonts w:eastAsia="MS Mincho"/>
          <w:sz w:val="20"/>
          <w:szCs w:val="20"/>
          <w:lang w:eastAsia="ja-JP"/>
        </w:rPr>
        <w:t>details of the two alternatives, and give our suggestions</w:t>
      </w:r>
      <w:r w:rsidR="0074779C" w:rsidRPr="00FB6A81">
        <w:rPr>
          <w:rFonts w:eastAsia="MS Mincho" w:hint="eastAsia"/>
          <w:sz w:val="20"/>
          <w:szCs w:val="20"/>
        </w:rPr>
        <w:t>.</w:t>
      </w:r>
    </w:p>
    <w:p w14:paraId="6B23A0B2" w14:textId="2E3ECC12" w:rsidR="004A55F0" w:rsidRDefault="00742F9E" w:rsidP="004A55F0">
      <w:pPr>
        <w:pStyle w:val="Heading1"/>
      </w:pPr>
      <w:r>
        <w:t>Preamble-to-PRU mapping for 2-step CFRA</w:t>
      </w:r>
    </w:p>
    <w:p w14:paraId="63D21002" w14:textId="3C2F1B63" w:rsidR="00A94FA9" w:rsidRPr="002B5AED" w:rsidRDefault="00C17EB7" w:rsidP="00C70BE7">
      <w:pPr>
        <w:spacing w:before="120" w:after="120"/>
        <w:rPr>
          <w:sz w:val="20"/>
          <w:szCs w:val="20"/>
          <w:lang w:eastAsia="x-none"/>
        </w:rPr>
      </w:pPr>
      <w:r>
        <w:rPr>
          <w:color w:val="000000"/>
          <w:sz w:val="20"/>
          <w:szCs w:val="20"/>
        </w:rPr>
        <w:t>To support CFRA, RAN2 agreed the dedicated MsgA PUSCH resource will be configured which is</w:t>
      </w:r>
      <w:r w:rsidR="000D241E">
        <w:rPr>
          <w:color w:val="000000"/>
          <w:sz w:val="20"/>
          <w:szCs w:val="20"/>
        </w:rPr>
        <w:t xml:space="preserve"> not shared with CBRA. In addition, the dedicated MsgA PRACH occasion are optionally configured, if not configured, the RP for 2-step CBRA are used.</w:t>
      </w:r>
    </w:p>
    <w:tbl>
      <w:tblPr>
        <w:tblStyle w:val="TableGrid"/>
        <w:tblW w:w="0" w:type="auto"/>
        <w:tblLook w:val="04A0" w:firstRow="1" w:lastRow="0" w:firstColumn="1" w:lastColumn="0" w:noHBand="0" w:noVBand="1"/>
      </w:tblPr>
      <w:tblGrid>
        <w:gridCol w:w="9629"/>
      </w:tblGrid>
      <w:tr w:rsidR="00B8629D" w:rsidRPr="00742F9E" w14:paraId="70EE56DC" w14:textId="77777777" w:rsidTr="00B8629D">
        <w:tc>
          <w:tcPr>
            <w:tcW w:w="9629" w:type="dxa"/>
          </w:tcPr>
          <w:p w14:paraId="2D2A79D2" w14:textId="77777777" w:rsidR="00742F9E" w:rsidRPr="00742F9E" w:rsidRDefault="00742F9E" w:rsidP="00742F9E">
            <w:pPr>
              <w:spacing w:after="120"/>
              <w:rPr>
                <w:rFonts w:ascii="Arial" w:hAnsi="Arial" w:cs="Arial"/>
                <w:sz w:val="20"/>
                <w:szCs w:val="20"/>
              </w:rPr>
            </w:pPr>
            <w:r w:rsidRPr="00742F9E">
              <w:rPr>
                <w:rFonts w:ascii="Arial" w:hAnsi="Arial" w:cs="Arial"/>
                <w:b/>
                <w:bCs/>
                <w:sz w:val="20"/>
                <w:szCs w:val="20"/>
              </w:rPr>
              <w:t>Alt 1:</w:t>
            </w:r>
            <w:r w:rsidRPr="00742F9E">
              <w:rPr>
                <w:rFonts w:ascii="Arial" w:hAnsi="Arial" w:cs="Arial"/>
                <w:sz w:val="20"/>
                <w:szCs w:val="20"/>
              </w:rPr>
              <w:t xml:space="preserve"> Reusing the preamble-to-PRU mapping rule defined by RAN1 for CBRA and signaling the number of contention free preambles per SSB (field </w:t>
            </w:r>
            <w:r w:rsidRPr="00742F9E">
              <w:rPr>
                <w:rFonts w:ascii="Arial" w:hAnsi="Arial" w:cs="Arial"/>
                <w:i/>
                <w:iCs/>
                <w:sz w:val="20"/>
                <w:szCs w:val="20"/>
              </w:rPr>
              <w:t>msgA-TotalNumberOfCFRAPreambles</w:t>
            </w:r>
            <w:r w:rsidRPr="00742F9E">
              <w:rPr>
                <w:rFonts w:ascii="Arial" w:hAnsi="Arial" w:cs="Arial"/>
                <w:sz w:val="20"/>
                <w:szCs w:val="20"/>
              </w:rPr>
              <w:t>)</w:t>
            </w:r>
            <w:r w:rsidRPr="00742F9E">
              <w:rPr>
                <w:rFonts w:ascii="Arial" w:hAnsi="Arial" w:cs="Arial" w:hint="eastAsia"/>
                <w:sz w:val="20"/>
                <w:szCs w:val="20"/>
              </w:rPr>
              <w:t>,</w:t>
            </w:r>
            <w:r w:rsidRPr="00742F9E">
              <w:rPr>
                <w:rFonts w:ascii="Arial" w:hAnsi="Arial" w:cs="Arial"/>
                <w:sz w:val="20"/>
                <w:szCs w:val="20"/>
              </w:rPr>
              <w:t xml:space="preserve"> and an offset, if needed, to be used for the start of the contention free preamble in each RACH occasion (field </w:t>
            </w:r>
            <w:r w:rsidRPr="00742F9E">
              <w:rPr>
                <w:rFonts w:ascii="Arial" w:hAnsi="Arial" w:cs="Arial"/>
                <w:i/>
                <w:iCs/>
                <w:sz w:val="20"/>
                <w:szCs w:val="20"/>
              </w:rPr>
              <w:t>msgA-PreambleStartIndex</w:t>
            </w:r>
            <w:r w:rsidRPr="00742F9E">
              <w:rPr>
                <w:rFonts w:ascii="Arial" w:hAnsi="Arial" w:cs="Arial"/>
                <w:sz w:val="20"/>
                <w:szCs w:val="20"/>
              </w:rPr>
              <w:t>)[2].</w:t>
            </w:r>
            <w:r w:rsidRPr="00742F9E">
              <w:rPr>
                <w:rFonts w:ascii="Arial" w:hAnsi="Arial" w:cs="Arial" w:hint="eastAsia"/>
                <w:sz w:val="20"/>
                <w:szCs w:val="20"/>
              </w:rPr>
              <w:t xml:space="preserve"> And it is noted that</w:t>
            </w:r>
            <w:r w:rsidRPr="00742F9E">
              <w:rPr>
                <w:rFonts w:ascii="Arial" w:hAnsi="Arial" w:cs="Arial"/>
                <w:sz w:val="20"/>
                <w:szCs w:val="20"/>
              </w:rPr>
              <w:t xml:space="preserve"> for</w:t>
            </w:r>
            <w:r w:rsidRPr="00742F9E">
              <w:rPr>
                <w:rFonts w:ascii="Arial" w:hAnsi="Arial" w:cs="Arial" w:hint="eastAsia"/>
                <w:sz w:val="20"/>
                <w:szCs w:val="20"/>
              </w:rPr>
              <w:t xml:space="preserve"> CFRA </w:t>
            </w:r>
            <w:r w:rsidRPr="00742F9E">
              <w:rPr>
                <w:rFonts w:ascii="Arial" w:hAnsi="Arial" w:cs="Arial"/>
                <w:sz w:val="20"/>
                <w:szCs w:val="20"/>
              </w:rPr>
              <w:t>dedicated configuration may include</w:t>
            </w:r>
            <w:r w:rsidRPr="00742F9E">
              <w:rPr>
                <w:rFonts w:ascii="Arial" w:hAnsi="Arial" w:cs="Arial" w:hint="eastAsia"/>
                <w:sz w:val="20"/>
                <w:szCs w:val="20"/>
              </w:rPr>
              <w:t xml:space="preserve"> 1-to-1 mapping between a preamble index and a PUSCH resource</w:t>
            </w:r>
            <w:r w:rsidRPr="00742F9E">
              <w:rPr>
                <w:rFonts w:ascii="Arial" w:hAnsi="Arial" w:cs="Arial"/>
                <w:sz w:val="20"/>
                <w:szCs w:val="20"/>
              </w:rPr>
              <w:t xml:space="preserve"> unit</w:t>
            </w:r>
            <w:r w:rsidRPr="00742F9E">
              <w:rPr>
                <w:rFonts w:ascii="Arial" w:hAnsi="Arial" w:cs="Arial" w:hint="eastAsia"/>
                <w:sz w:val="20"/>
                <w:szCs w:val="20"/>
              </w:rPr>
              <w:t>.</w:t>
            </w:r>
          </w:p>
          <w:p w14:paraId="2894D64F" w14:textId="17FCA4BD" w:rsidR="00B8629D" w:rsidRPr="00742F9E" w:rsidRDefault="00742F9E" w:rsidP="00742F9E">
            <w:pPr>
              <w:spacing w:after="120"/>
              <w:rPr>
                <w:rFonts w:ascii="Arial" w:hAnsi="Arial" w:cs="Arial"/>
                <w:sz w:val="20"/>
                <w:szCs w:val="20"/>
              </w:rPr>
            </w:pPr>
            <w:r w:rsidRPr="00742F9E">
              <w:rPr>
                <w:rFonts w:ascii="Arial" w:hAnsi="Arial" w:cs="Arial"/>
                <w:b/>
                <w:bCs/>
                <w:sz w:val="20"/>
                <w:szCs w:val="20"/>
              </w:rPr>
              <w:t>Alt 2:</w:t>
            </w:r>
            <w:r w:rsidRPr="00742F9E">
              <w:rPr>
                <w:rFonts w:ascii="Arial" w:hAnsi="Arial" w:cs="Arial"/>
                <w:sz w:val="20"/>
                <w:szCs w:val="20"/>
              </w:rPr>
              <w:t xml:space="preserve"> The PUSCH occasions 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signaled in </w:t>
            </w:r>
            <w:r w:rsidRPr="00742F9E">
              <w:rPr>
                <w:rFonts w:ascii="Arial" w:hAnsi="Arial" w:cs="Arial"/>
                <w:i/>
                <w:sz w:val="20"/>
                <w:szCs w:val="20"/>
              </w:rPr>
              <w:t>RACH-ConfigDedicated</w:t>
            </w:r>
            <w:r w:rsidRPr="00742F9E">
              <w:rPr>
                <w:rFonts w:ascii="Arial" w:hAnsi="Arial" w:cs="Arial"/>
                <w:noProof/>
                <w:sz w:val="20"/>
                <w:szCs w:val="20"/>
                <w:lang w:eastAsia="en-GB"/>
              </w:rPr>
              <w:t xml:space="preserve"> </w:t>
            </w:r>
            <w:r w:rsidRPr="00742F9E">
              <w:rPr>
                <w:rFonts w:ascii="Arial" w:hAnsi="Arial" w:cs="Arial"/>
                <w:sz w:val="20"/>
                <w:szCs w:val="20"/>
              </w:rPr>
              <w:t xml:space="preserve">in addition to </w:t>
            </w:r>
            <w:r w:rsidRPr="00742F9E">
              <w:rPr>
                <w:rFonts w:ascii="Arial" w:hAnsi="Arial" w:cs="Arial"/>
                <w:i/>
                <w:sz w:val="20"/>
                <w:szCs w:val="20"/>
              </w:rPr>
              <w:t>ra-PreambleIndex</w:t>
            </w:r>
            <w:r w:rsidRPr="00742F9E">
              <w:rPr>
                <w:rFonts w:ascii="Arial" w:hAnsi="Arial" w:cs="Arial"/>
                <w:sz w:val="20"/>
                <w:szCs w:val="20"/>
              </w:rPr>
              <w:t xml:space="preserve"> [3]. The indexing order can either be captured in RAN1 spec or in RAN2 specs. The validation rules for PUSCH resource and the DMRS mapping related aspects are assumed to be transparent to RAN2. </w:t>
            </w:r>
          </w:p>
        </w:tc>
      </w:tr>
    </w:tbl>
    <w:p w14:paraId="39DAFC24" w14:textId="3D11FBDE" w:rsidR="000D241E" w:rsidRDefault="000D241E" w:rsidP="00C70BE7">
      <w:pPr>
        <w:spacing w:before="120" w:after="120"/>
        <w:rPr>
          <w:color w:val="000000"/>
          <w:sz w:val="20"/>
          <w:szCs w:val="20"/>
        </w:rPr>
      </w:pPr>
      <w:r>
        <w:rPr>
          <w:color w:val="000000"/>
          <w:sz w:val="20"/>
          <w:szCs w:val="20"/>
        </w:rPr>
        <w:t>For Alt1,</w:t>
      </w:r>
      <w:r w:rsidR="00954DBB">
        <w:rPr>
          <w:color w:val="000000"/>
          <w:sz w:val="20"/>
          <w:szCs w:val="20"/>
        </w:rPr>
        <w:t xml:space="preserve"> the CBRA preamble-to-PRU mapping method is re-used for CFRA. From RAN1 perspective, the standard work is limited. The RAN2 impact is </w:t>
      </w:r>
      <w:r w:rsidR="004F55D8">
        <w:rPr>
          <w:color w:val="000000"/>
          <w:sz w:val="20"/>
          <w:szCs w:val="20"/>
        </w:rPr>
        <w:t>one more</w:t>
      </w:r>
      <w:r w:rsidR="00954DBB">
        <w:rPr>
          <w:color w:val="000000"/>
          <w:sz w:val="20"/>
          <w:szCs w:val="20"/>
        </w:rPr>
        <w:t xml:space="preserve"> new RRC parameters will be introduced.</w:t>
      </w:r>
    </w:p>
    <w:p w14:paraId="0BEFCAB4" w14:textId="34B36744" w:rsidR="007819BF" w:rsidRDefault="000D241E" w:rsidP="00C70BE7">
      <w:pPr>
        <w:spacing w:before="120" w:after="120"/>
        <w:rPr>
          <w:color w:val="000000"/>
          <w:sz w:val="20"/>
          <w:szCs w:val="20"/>
        </w:rPr>
      </w:pPr>
      <w:r>
        <w:rPr>
          <w:color w:val="000000"/>
          <w:sz w:val="20"/>
          <w:szCs w:val="20"/>
        </w:rPr>
        <w:t xml:space="preserve">For Alt2, </w:t>
      </w:r>
      <w:r w:rsidR="00215980">
        <w:rPr>
          <w:color w:val="000000"/>
          <w:sz w:val="20"/>
          <w:szCs w:val="20"/>
        </w:rPr>
        <w:t xml:space="preserve">the PUSCH occasion index will be informed to UE with the </w:t>
      </w:r>
      <w:r w:rsidR="00215980" w:rsidRPr="00215980">
        <w:rPr>
          <w:i/>
          <w:iCs/>
          <w:color w:val="000000"/>
          <w:sz w:val="20"/>
          <w:szCs w:val="20"/>
        </w:rPr>
        <w:t>ra-PreambleIndex</w:t>
      </w:r>
      <w:r w:rsidR="007819BF">
        <w:rPr>
          <w:color w:val="000000"/>
          <w:sz w:val="20"/>
          <w:szCs w:val="20"/>
        </w:rPr>
        <w:t xml:space="preserve">. This alternative is not clear enough, the PO index seems not enough to associate with the preamble, one PO would include several PRU resources, if network configured the dedicated preamble and PO to UE, does it mean the UE </w:t>
      </w:r>
      <w:r w:rsidR="004F55D8">
        <w:rPr>
          <w:color w:val="000000"/>
          <w:sz w:val="20"/>
          <w:szCs w:val="20"/>
        </w:rPr>
        <w:t>rand</w:t>
      </w:r>
      <w:r w:rsidR="0001450F">
        <w:rPr>
          <w:color w:val="000000"/>
          <w:sz w:val="20"/>
          <w:szCs w:val="20"/>
        </w:rPr>
        <w:t>om</w:t>
      </w:r>
      <w:r w:rsidR="004F55D8">
        <w:rPr>
          <w:color w:val="000000"/>
          <w:sz w:val="20"/>
          <w:szCs w:val="20"/>
        </w:rPr>
        <w:t>ly</w:t>
      </w:r>
      <w:r w:rsidR="007819BF">
        <w:rPr>
          <w:color w:val="000000"/>
          <w:sz w:val="20"/>
          <w:szCs w:val="20"/>
        </w:rPr>
        <w:t xml:space="preserve"> select one PRU associating with the preamble? then gNB </w:t>
      </w:r>
      <w:r w:rsidR="00AA10F2">
        <w:rPr>
          <w:color w:val="000000"/>
          <w:sz w:val="20"/>
          <w:szCs w:val="20"/>
        </w:rPr>
        <w:t xml:space="preserve">would </w:t>
      </w:r>
      <w:r w:rsidR="007819BF">
        <w:rPr>
          <w:color w:val="000000"/>
          <w:sz w:val="20"/>
          <w:szCs w:val="20"/>
        </w:rPr>
        <w:t>try to decode all the possible PRUs</w:t>
      </w:r>
      <w:r w:rsidR="00F122C6">
        <w:rPr>
          <w:color w:val="000000"/>
          <w:sz w:val="20"/>
          <w:szCs w:val="20"/>
        </w:rPr>
        <w:t xml:space="preserve"> associated with that preamble. This will increase the gNB detection complexity, and the PO resource</w:t>
      </w:r>
      <w:r w:rsidR="0001450F">
        <w:rPr>
          <w:color w:val="000000"/>
          <w:sz w:val="20"/>
          <w:szCs w:val="20"/>
        </w:rPr>
        <w:t>s</w:t>
      </w:r>
      <w:r w:rsidR="00F122C6">
        <w:rPr>
          <w:color w:val="000000"/>
          <w:sz w:val="20"/>
          <w:szCs w:val="20"/>
        </w:rPr>
        <w:t xml:space="preserve"> </w:t>
      </w:r>
      <w:r w:rsidR="0001450F">
        <w:rPr>
          <w:color w:val="000000"/>
          <w:sz w:val="20"/>
          <w:szCs w:val="20"/>
        </w:rPr>
        <w:t>are</w:t>
      </w:r>
      <w:r w:rsidR="004F55D8">
        <w:rPr>
          <w:color w:val="000000"/>
          <w:sz w:val="20"/>
          <w:szCs w:val="20"/>
        </w:rPr>
        <w:t xml:space="preserve"> not </w:t>
      </w:r>
      <w:r w:rsidR="00F122C6">
        <w:rPr>
          <w:color w:val="000000"/>
          <w:sz w:val="20"/>
          <w:szCs w:val="20"/>
        </w:rPr>
        <w:t>utiliz</w:t>
      </w:r>
      <w:r w:rsidR="004F55D8">
        <w:rPr>
          <w:color w:val="000000"/>
          <w:sz w:val="20"/>
          <w:szCs w:val="20"/>
        </w:rPr>
        <w:t xml:space="preserve">ed </w:t>
      </w:r>
      <w:r w:rsidR="00F122C6">
        <w:rPr>
          <w:color w:val="000000"/>
          <w:sz w:val="20"/>
          <w:szCs w:val="20"/>
        </w:rPr>
        <w:t>efficient</w:t>
      </w:r>
      <w:r w:rsidR="004F55D8">
        <w:rPr>
          <w:color w:val="000000"/>
          <w:sz w:val="20"/>
          <w:szCs w:val="20"/>
        </w:rPr>
        <w:t>ly</w:t>
      </w:r>
      <w:r w:rsidR="00F122C6">
        <w:rPr>
          <w:color w:val="000000"/>
          <w:sz w:val="20"/>
          <w:szCs w:val="20"/>
        </w:rPr>
        <w:t xml:space="preserve">. </w:t>
      </w:r>
      <w:r w:rsidR="004F22CF">
        <w:rPr>
          <w:color w:val="000000"/>
          <w:sz w:val="20"/>
          <w:szCs w:val="20"/>
        </w:rPr>
        <w:t>From standard perspective, the P</w:t>
      </w:r>
      <w:r w:rsidR="0001450F">
        <w:rPr>
          <w:color w:val="000000"/>
          <w:sz w:val="20"/>
          <w:szCs w:val="20"/>
        </w:rPr>
        <w:t>USCH occasion</w:t>
      </w:r>
      <w:r w:rsidR="004F22CF">
        <w:rPr>
          <w:color w:val="000000"/>
          <w:sz w:val="20"/>
          <w:szCs w:val="20"/>
        </w:rPr>
        <w:t xml:space="preserve"> indexing needs to be defined</w:t>
      </w:r>
      <w:r w:rsidR="0001450F">
        <w:rPr>
          <w:color w:val="000000"/>
          <w:sz w:val="20"/>
          <w:szCs w:val="20"/>
        </w:rPr>
        <w:t xml:space="preserve"> for valid PO and a new RRC parameter would be required</w:t>
      </w:r>
      <w:r w:rsidR="004F22CF">
        <w:rPr>
          <w:color w:val="000000"/>
          <w:sz w:val="20"/>
          <w:szCs w:val="20"/>
        </w:rPr>
        <w:t>.</w:t>
      </w:r>
      <w:r w:rsidR="001D5102">
        <w:rPr>
          <w:color w:val="000000"/>
          <w:sz w:val="20"/>
          <w:szCs w:val="20"/>
        </w:rPr>
        <w:t xml:space="preserve"> </w:t>
      </w:r>
    </w:p>
    <w:p w14:paraId="56A21B06" w14:textId="72765F7A" w:rsidR="0099328B" w:rsidRDefault="00F122C6" w:rsidP="00C70BE7">
      <w:pPr>
        <w:spacing w:before="120" w:after="120"/>
        <w:rPr>
          <w:color w:val="000000"/>
          <w:sz w:val="20"/>
          <w:szCs w:val="20"/>
        </w:rPr>
      </w:pPr>
      <w:r>
        <w:rPr>
          <w:color w:val="000000"/>
          <w:sz w:val="20"/>
          <w:szCs w:val="20"/>
        </w:rPr>
        <w:t xml:space="preserve">With above analysis, the Alt 1 is </w:t>
      </w:r>
      <w:r w:rsidR="001D5102">
        <w:rPr>
          <w:color w:val="000000"/>
          <w:sz w:val="20"/>
          <w:szCs w:val="20"/>
        </w:rPr>
        <w:t xml:space="preserve">slight </w:t>
      </w:r>
      <w:r>
        <w:rPr>
          <w:color w:val="000000"/>
          <w:sz w:val="20"/>
          <w:szCs w:val="20"/>
        </w:rPr>
        <w:t>preferred.</w:t>
      </w:r>
    </w:p>
    <w:p w14:paraId="61CDA6B0" w14:textId="7C771B2D" w:rsidR="006F0F91" w:rsidRDefault="006F0F91" w:rsidP="00496B48">
      <w:pPr>
        <w:spacing w:before="120" w:after="120"/>
        <w:rPr>
          <w:color w:val="000000"/>
          <w:sz w:val="20"/>
          <w:szCs w:val="20"/>
        </w:rPr>
      </w:pPr>
      <w:r w:rsidRPr="002B5AED">
        <w:rPr>
          <w:b/>
          <w:bCs/>
          <w:color w:val="000000"/>
          <w:sz w:val="20"/>
          <w:szCs w:val="20"/>
        </w:rPr>
        <w:t xml:space="preserve">Proposal </w:t>
      </w:r>
      <w:r w:rsidR="000D241E">
        <w:rPr>
          <w:b/>
          <w:bCs/>
          <w:color w:val="000000"/>
          <w:sz w:val="20"/>
          <w:szCs w:val="20"/>
        </w:rPr>
        <w:t>1</w:t>
      </w:r>
      <w:r w:rsidRPr="002B5AED">
        <w:rPr>
          <w:b/>
          <w:bCs/>
          <w:color w:val="000000"/>
          <w:sz w:val="20"/>
          <w:szCs w:val="20"/>
        </w:rPr>
        <w:t xml:space="preserve">: </w:t>
      </w:r>
      <w:r>
        <w:rPr>
          <w:b/>
          <w:bCs/>
          <w:color w:val="000000"/>
          <w:sz w:val="20"/>
          <w:szCs w:val="20"/>
        </w:rPr>
        <w:t xml:space="preserve">Adopt </w:t>
      </w:r>
      <w:r w:rsidR="000D241E">
        <w:rPr>
          <w:b/>
          <w:bCs/>
          <w:color w:val="000000"/>
          <w:sz w:val="20"/>
          <w:szCs w:val="20"/>
        </w:rPr>
        <w:t>Alt</w:t>
      </w:r>
      <w:r w:rsidR="00B62953">
        <w:rPr>
          <w:b/>
          <w:bCs/>
          <w:color w:val="000000"/>
          <w:sz w:val="20"/>
          <w:szCs w:val="20"/>
        </w:rPr>
        <w:t xml:space="preserve"> </w:t>
      </w:r>
      <w:r w:rsidR="000D241E">
        <w:rPr>
          <w:b/>
          <w:bCs/>
          <w:color w:val="000000"/>
          <w:sz w:val="20"/>
          <w:szCs w:val="20"/>
        </w:rPr>
        <w:t>1 to support the pr</w:t>
      </w:r>
      <w:r w:rsidR="00B62953">
        <w:rPr>
          <w:b/>
          <w:bCs/>
          <w:color w:val="000000"/>
          <w:sz w:val="20"/>
          <w:szCs w:val="20"/>
        </w:rPr>
        <w:t>e</w:t>
      </w:r>
      <w:r w:rsidR="000D241E">
        <w:rPr>
          <w:b/>
          <w:bCs/>
          <w:color w:val="000000"/>
          <w:sz w:val="20"/>
          <w:szCs w:val="20"/>
        </w:rPr>
        <w:t>amble-to-PRU mapping for 2-step CFRA</w:t>
      </w:r>
      <w:r>
        <w:rPr>
          <w:b/>
          <w:bCs/>
          <w:color w:val="000000"/>
          <w:sz w:val="20"/>
          <w:szCs w:val="20"/>
        </w:rPr>
        <w:t>.</w:t>
      </w:r>
    </w:p>
    <w:p w14:paraId="582659F1" w14:textId="3034C969" w:rsidR="00633C58" w:rsidRDefault="00633C58" w:rsidP="00633C58">
      <w:pPr>
        <w:pStyle w:val="Heading1"/>
      </w:pPr>
      <w:r>
        <w:t>Summary</w:t>
      </w:r>
    </w:p>
    <w:p w14:paraId="1CFACAEE" w14:textId="44DFE054"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F122C6">
        <w:rPr>
          <w:rFonts w:eastAsia="MS Mincho"/>
          <w:sz w:val="20"/>
          <w:szCs w:val="20"/>
          <w:lang w:eastAsia="ja-JP"/>
        </w:rPr>
        <w:t>RAN2 LS on preamble-to-PRU mapping for 2-step CFRA</w:t>
      </w:r>
      <w:r w:rsidR="00E12172" w:rsidRPr="00447804">
        <w:rPr>
          <w:rFonts w:eastAsia="MS Mincho"/>
          <w:sz w:val="20"/>
          <w:szCs w:val="20"/>
          <w:lang w:eastAsia="ja-JP"/>
        </w:rPr>
        <w:t>. We have the following the proposal</w:t>
      </w:r>
      <w:r w:rsidR="00F122C6">
        <w:rPr>
          <w:rFonts w:eastAsia="MS Mincho"/>
          <w:sz w:val="20"/>
          <w:szCs w:val="20"/>
          <w:lang w:eastAsia="ja-JP"/>
        </w:rPr>
        <w:t>.</w:t>
      </w:r>
    </w:p>
    <w:p w14:paraId="5D4CE667" w14:textId="326ED56C" w:rsidR="00072FD6" w:rsidRPr="00B62953" w:rsidRDefault="00B62953" w:rsidP="00072FD6">
      <w:pPr>
        <w:spacing w:before="120" w:after="120"/>
        <w:rPr>
          <w:color w:val="000000"/>
          <w:sz w:val="20"/>
          <w:szCs w:val="20"/>
        </w:rPr>
      </w:pPr>
      <w:r w:rsidRPr="002B5AED">
        <w:rPr>
          <w:b/>
          <w:bCs/>
          <w:color w:val="000000"/>
          <w:sz w:val="20"/>
          <w:szCs w:val="20"/>
        </w:rPr>
        <w:t xml:space="preserve">Proposal </w:t>
      </w:r>
      <w:r>
        <w:rPr>
          <w:b/>
          <w:bCs/>
          <w:color w:val="000000"/>
          <w:sz w:val="20"/>
          <w:szCs w:val="20"/>
        </w:rPr>
        <w:t>1</w:t>
      </w:r>
      <w:r w:rsidRPr="002B5AED">
        <w:rPr>
          <w:b/>
          <w:bCs/>
          <w:color w:val="000000"/>
          <w:sz w:val="20"/>
          <w:szCs w:val="20"/>
        </w:rPr>
        <w:t xml:space="preserve">: </w:t>
      </w:r>
      <w:r>
        <w:rPr>
          <w:b/>
          <w:bCs/>
          <w:color w:val="000000"/>
          <w:sz w:val="20"/>
          <w:szCs w:val="20"/>
        </w:rPr>
        <w:t>Adopt Alt 1 to support the preamble-to-PRU mapping for 2-step CFRA</w:t>
      </w:r>
      <w:r w:rsidR="00072FD6">
        <w:rPr>
          <w:b/>
          <w:bCs/>
          <w:color w:val="000000"/>
          <w:sz w:val="20"/>
          <w:szCs w:val="20"/>
        </w:rPr>
        <w:t>.</w:t>
      </w:r>
      <w:r w:rsidR="00072FD6" w:rsidRPr="00993D7B">
        <w:rPr>
          <w:b/>
          <w:bCs/>
          <w:color w:val="000000"/>
          <w:sz w:val="20"/>
          <w:szCs w:val="20"/>
        </w:rPr>
        <w:t xml:space="preserve"> </w:t>
      </w:r>
    </w:p>
    <w:p w14:paraId="7C48F389" w14:textId="020D9D46" w:rsidR="00742F9E" w:rsidRPr="00A65CDD" w:rsidRDefault="0017048A" w:rsidP="00A65CDD">
      <w:pPr>
        <w:pStyle w:val="Heading1"/>
      </w:pPr>
      <w:r w:rsidRPr="00342BBF">
        <w:lastRenderedPageBreak/>
        <w:t>References</w:t>
      </w:r>
      <w:bookmarkStart w:id="2" w:name="_Ref4513308"/>
    </w:p>
    <w:p w14:paraId="480213DA" w14:textId="069E45F2" w:rsidR="00742F9E" w:rsidRDefault="00742F9E" w:rsidP="00807B0A">
      <w:pPr>
        <w:widowControl w:val="0"/>
        <w:numPr>
          <w:ilvl w:val="0"/>
          <w:numId w:val="5"/>
        </w:numPr>
        <w:jc w:val="both"/>
        <w:rPr>
          <w:sz w:val="20"/>
          <w:szCs w:val="20"/>
        </w:rPr>
      </w:pPr>
      <w:r>
        <w:rPr>
          <w:sz w:val="20"/>
          <w:szCs w:val="20"/>
        </w:rPr>
        <w:t xml:space="preserve">R1-2001508, “LS to RAN1 on preamble-to-PRU mapping for 2-step RACH”, RAN2 </w:t>
      </w:r>
    </w:p>
    <w:p w14:paraId="424F1C1B" w14:textId="23B92AC3" w:rsidR="00631BC0" w:rsidRPr="00DC51FC" w:rsidRDefault="00631BC0" w:rsidP="00807B0A">
      <w:pPr>
        <w:widowControl w:val="0"/>
        <w:ind w:left="420"/>
        <w:jc w:val="both"/>
        <w:rPr>
          <w:sz w:val="20"/>
          <w:szCs w:val="20"/>
        </w:rPr>
      </w:pPr>
    </w:p>
    <w:p w14:paraId="03159EDD" w14:textId="50297FD6" w:rsidR="00D27B6C" w:rsidRPr="00DC51FC" w:rsidRDefault="00D27B6C" w:rsidP="00D27B6C">
      <w:pPr>
        <w:widowControl w:val="0"/>
        <w:ind w:left="420"/>
        <w:jc w:val="both"/>
        <w:rPr>
          <w:sz w:val="20"/>
          <w:szCs w:val="20"/>
        </w:rPr>
      </w:pPr>
    </w:p>
    <w:p w14:paraId="1A6AA688" w14:textId="5096204D" w:rsidR="001E15B3" w:rsidRDefault="001E15B3" w:rsidP="001E15B3">
      <w:pPr>
        <w:widowControl w:val="0"/>
        <w:ind w:left="420"/>
        <w:jc w:val="both"/>
        <w:rPr>
          <w:sz w:val="20"/>
          <w:szCs w:val="20"/>
        </w:rPr>
      </w:pPr>
    </w:p>
    <w:p w14:paraId="2A620D1B" w14:textId="0DCEA4F8" w:rsidR="0062672B" w:rsidRDefault="0062672B" w:rsidP="0062672B">
      <w:pPr>
        <w:widowControl w:val="0"/>
        <w:ind w:left="420"/>
        <w:rPr>
          <w:sz w:val="20"/>
          <w:szCs w:val="20"/>
        </w:rPr>
      </w:pPr>
    </w:p>
    <w:p w14:paraId="4B9B7AB6" w14:textId="77777777" w:rsidR="0062672B" w:rsidRDefault="0062672B" w:rsidP="001E15B3">
      <w:pPr>
        <w:widowControl w:val="0"/>
        <w:ind w:left="420"/>
        <w:jc w:val="both"/>
        <w:rPr>
          <w:sz w:val="20"/>
          <w:szCs w:val="20"/>
        </w:rPr>
      </w:pPr>
    </w:p>
    <w:bookmarkEnd w:id="2"/>
    <w:p w14:paraId="5CCC8728" w14:textId="77777777" w:rsidR="00141C4C" w:rsidRDefault="00141C4C" w:rsidP="0059679E">
      <w:pPr>
        <w:widowControl w:val="0"/>
        <w:jc w:val="both"/>
        <w:rPr>
          <w:sz w:val="20"/>
          <w:szCs w:val="20"/>
        </w:rPr>
      </w:pPr>
    </w:p>
    <w:sectPr w:rsidR="00141C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E132" w14:textId="77777777" w:rsidR="009221B5" w:rsidRDefault="009221B5">
      <w:r>
        <w:separator/>
      </w:r>
    </w:p>
  </w:endnote>
  <w:endnote w:type="continuationSeparator" w:id="0">
    <w:p w14:paraId="5D732D18" w14:textId="77777777" w:rsidR="009221B5" w:rsidRDefault="009221B5">
      <w:r>
        <w:continuationSeparator/>
      </w:r>
    </w:p>
  </w:endnote>
  <w:endnote w:type="continuationNotice" w:id="1">
    <w:p w14:paraId="605AC8D2" w14:textId="77777777" w:rsidR="009221B5" w:rsidRDefault="0092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9BC24" w14:textId="77777777" w:rsidR="009221B5" w:rsidRDefault="009221B5">
      <w:r>
        <w:separator/>
      </w:r>
    </w:p>
  </w:footnote>
  <w:footnote w:type="continuationSeparator" w:id="0">
    <w:p w14:paraId="250C346A" w14:textId="77777777" w:rsidR="009221B5" w:rsidRDefault="009221B5">
      <w:r>
        <w:continuationSeparator/>
      </w:r>
    </w:p>
  </w:footnote>
  <w:footnote w:type="continuationNotice" w:id="1">
    <w:p w14:paraId="18C25DAD" w14:textId="77777777" w:rsidR="009221B5" w:rsidRDefault="009221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CD7AA7"/>
    <w:multiLevelType w:val="hybridMultilevel"/>
    <w:tmpl w:val="70ACD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1"/>
  </w:num>
  <w:num w:numId="8">
    <w:abstractNumId w:val="9"/>
  </w:num>
  <w:num w:numId="9">
    <w:abstractNumId w:val="3"/>
  </w:num>
  <w:num w:numId="10">
    <w:abstractNumId w:val="4"/>
  </w:num>
  <w:num w:numId="11">
    <w:abstractNumId w:val="2"/>
  </w:num>
  <w:num w:numId="12">
    <w:abstractNumId w:val="13"/>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50F"/>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392"/>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41E"/>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9C"/>
    <w:rsid w:val="00127DE2"/>
    <w:rsid w:val="00127F28"/>
    <w:rsid w:val="00127F4C"/>
    <w:rsid w:val="001301E5"/>
    <w:rsid w:val="00130714"/>
    <w:rsid w:val="0013082D"/>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102"/>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68"/>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980"/>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96C"/>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2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1FAC"/>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528"/>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2CF"/>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5D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525"/>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2F9E"/>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9BF"/>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5C8"/>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559"/>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B7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1B5"/>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DBB"/>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5DE"/>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CDD"/>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0F2"/>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2FE9"/>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953"/>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17EB7"/>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2C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 w:type="character" w:styleId="UnresolvedMention">
    <w:name w:val="Unresolved Mention"/>
    <w:basedOn w:val="DefaultParagraphFont"/>
    <w:uiPriority w:val="99"/>
    <w:semiHidden/>
    <w:unhideWhenUsed/>
    <w:rsid w:val="00351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176861">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0981465">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0711210">
      <w:bodyDiv w:val="1"/>
      <w:marLeft w:val="0"/>
      <w:marRight w:val="0"/>
      <w:marTop w:val="0"/>
      <w:marBottom w:val="0"/>
      <w:divBdr>
        <w:top w:val="none" w:sz="0" w:space="0" w:color="auto"/>
        <w:left w:val="none" w:sz="0" w:space="0" w:color="auto"/>
        <w:bottom w:val="none" w:sz="0" w:space="0" w:color="auto"/>
        <w:right w:val="none" w:sz="0" w:space="0" w:color="auto"/>
      </w:divBdr>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0117106">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2.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4208</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333</cp:revision>
  <cp:lastPrinted>2019-09-25T06:54:00Z</cp:lastPrinted>
  <dcterms:created xsi:type="dcterms:W3CDTF">2018-09-02T16:33:00Z</dcterms:created>
  <dcterms:modified xsi:type="dcterms:W3CDTF">2020-04-10T10:21:00Z</dcterms:modified>
  <cp:category/>
</cp:coreProperties>
</file>